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19 vom 15. Juni 2023</w:t>
      </w:r>
    </w:p>
    <w:p>
      <w:r>
        <w:t>GR Gerichte, 2023-06-15, DE</w:t>
      </w:r>
    </w:p>
    <w:p>
      <w:r>
        <w:rPr>
          <w:b/>
        </w:rPr>
        <w:t xml:space="preserve">Quelle: </w:t>
      </w:r>
      <w:r>
        <w:t>https://mcp.opencaselaw.ch/entscheid/gr_gerichte_SK2 2023 19</w:t>
      </w:r>
    </w:p>
    <w:p>
      <w:r>
        <w:t>FR: GR_GERICHTE SK2 2023 19 du 15 juin 2023</w:t>
      </w:r>
    </w:p>
    <w:p>
      <w:r>
        <w:t>IT: GR_GERICHTE SK2 2023 19 del 15 giugno 2023</w:t>
      </w:r>
    </w:p>
    <w:p>
      <w:pPr>
        <w:pStyle w:val="Heading2"/>
      </w:pPr>
      <w:r>
        <w:t>Regeste</w:t>
      </w:r>
    </w:p>
    <w:p>
      <w:r>
        <w:t>Gültigkeit Einsprache gegen Strafbefehl | Beschwerde gegen Regionalgericht (früher Bezirksgericht)</w:t>
      </w:r>
    </w:p>
    <w:p>
      <w:pPr>
        <w:pStyle w:val="Heading2"/>
      </w:pPr>
      <w:r>
        <w:t>Erwägungen</w:t>
      </w:r>
    </w:p>
    <w:p>
      <w:r>
        <w:rPr>
          <w:b/>
        </w:rPr>
        <w:t>E. 1</w:t>
      </w:r>
    </w:p>
    <w:p>
      <w:r>
        <w:t>Die allgemeinen Voraussetzungen der Beschwerde (Frist, Form, Legitimati- on etc.) geben zu keinen Bemerkungen Anlass.</w:t>
      </w:r>
    </w:p>
    <w:p>
      <w:r>
        <w:rPr>
          <w:b/>
        </w:rPr>
        <w:t>E. 2</w:t>
      </w:r>
    </w:p>
    <w:p>
      <w:r>
        <w:t>Stirbt eine beschuldigte Person im Verlaufe des kantonalen Strafverfahrens, so fällt eine wesentliche Prozessvoraussetzung endgültig dahin, weshalb das Ver- fahren einzustellen ist. Ein erstinstanzliches Urteil wird hinfällig. Analoges gilt für das Strafbefehlsverfahren (Art. 319 Abs. 1 lit. d StPO; Art. 329 Abs. 4 StPO; BGer 6B_975/2021 v. 7.9.2022 E.1.1; BGer 6B_1091/2016 v.18.5.2018 E. 1; Niklaus Schmid/Daniel Jositsch, Praxiskommentar StPO, 3. Aufl., Zürich 2018, N 15 ff. zu Art. 329 StPO, N 8 zu Art. 382 StPO sowie N 9 zu Art. 403 StPO; Franz Riklin, Schweizerische Strafprozessordnung, OFK-StPO, 2. Aufl., Zürich 2014, N 19 zu Art. 354 StPO; Michael Daphinoff, Das Strafbefehlsverfahren in der Schweizeri- schen Strafprozessordnung, AISUF Band Nr. 316, Freiburg 2012, S. 684 bei Fn 4335). Für die Weiterführung des Rechtsmittelverfahrens durch die Angehörigen des Verstorbenen (Art. 382 Abs. 3 StPO) bleibt in dieser Konstellation kein Raum, da das Verfahren wegen eines unüberwindbaren Prozesshindernisses zwingend einzustellen ist. Bereits angefallene Kosten und Entschädigungen sind mangels einer anderslautenden gesetzlichen Regelung vom Staat zu tragen (vgl. dazu nachfolgend E. 3.1 f.). Somit fehlt es auch diesbezüglich an einem rechtlich ge- schützten Interesse von Angehörigen an der Fortsetzung des Verfahrens (BGer 6B_16/2012 v. 15.7.2013 E. 1; Riklin, a.a.O., N 7 zu Art. 382 StPO; Mischa De-</w:t>
      </w:r>
    </w:p>
    <w:p>
      <w:r>
        <w:rPr>
          <w:b/>
        </w:rPr>
        <w:t>E. 4</w:t>
      </w:r>
    </w:p>
    <w:p>
      <w:r>
        <w:t>zu Vorbemerkungen zu Art. 416-428 StPO). Die Kosten der Staatsanwaltschaft Graubünden (CHF 1'095.00) und des Regio- nalgerichts Imboden (CHF 1'000.00) sowie die Kosten des vorliegenden Be- schwerdeverfahrens von CHF 1'000.00 gehen demzufolge zulasten des Kantons Graubünden. 3.2. Wird die beschuldigte Person ganz oder teilweise freigesprochen oder wird das Verfahren gegen sie eingestellt, so hat sie gemäss Art. 429 Abs. 1 lit. a StPO Anspruch auf Entschädigung ihrer Aufwendungen für die angemessene Ausübung ihrer Verfahrensrechte (BGE 138 IV 197 E. 2.3). Dies gilt auch für das Rechtsmit- telverfahren (Art. 436 Abs. 1 StPO). Der Anspruch geht auf den Nachlass über. Grundsätzlich ist dabei die Entschädigungsfrage wie die Kostenfrage zu beantwor- ten. Da die Verlegung der Verfahrenskosten die Entschädigungsfrage präjudiziert, sind vorliegend die Kosten der Rechtsvertretung des Beschwerdeführers ebenfalls vom Kanton Graubünden zu übernehmen. Der Rechtsvertreter des Beschwerdeführers beantragt eine Parteientschädigung nach Ermessen des Gerichts (act. A.6). Der</w:t>
      </w:r>
    </w:p>
    <w:p>
      <w:r>
        <w:rPr>
          <w:b/>
        </w:rPr>
        <w:t>E. 5</w:t>
      </w:r>
    </w:p>
    <w:p>
      <w:r>
        <w:t>/ 6 Rechtsbeistand wurde vom Beschwerdeführer (Beschuldigter) erstmals für die Einreichung der Einsprache beigezogen (vgl. StA act. 11). Die Abfassung der Ein- sprache war mit keinem nennenswerten Aufwand verbunden, zumal diese nicht zu begründen war (Art. 354 Abs. 2 StPO). Die Hauptverhandlung vor Regionalgericht Imboden fand ohne Parteivortritt statt (RG act. I/4). Indessen erhob der Rechtsver- treter für seinen Mandanten Beschwerde gegen den Beschluss des Regionalge- richts (act. A.1). Angesichts der sich stellenden Sach- und Rechtsfragen sowie der angefallenen notwendigen Verrichtungen erscheint eine Entschädigung von CHF 1'500.00 (inkl. Spesen und MwSt.) für sämtliche Instanzen als angemessen. 4. Gemäss Art. 397 Abs. 2 StPO kann die Beschwerdekammer reformatorisch entscheiden, soweit dies nach der konkreten Sach- und Rechtslage möglich ist. Dies ist vorliegend der Fall, zumal es sich um eine formelle Erledigung des Verfah- rens handelt. Eine Rückweisung an die Vorinstanz zur Einstellung des Verfahrens wäre prozessökonomisch unsinnig. Das Verfahren kann in einzelrichterlicher Kompetenz erledigt werden (Art. 18 Abs. 3 GOG).</w:t>
      </w:r>
    </w:p>
    <w:p>
      <w:r>
        <w:rPr>
          <w:b/>
        </w:rPr>
        <w:t>E. 6</w:t>
      </w:r>
    </w:p>
    <w:p>
      <w:r>
        <w: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